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BB" w:rsidRDefault="0010592E">
      <w:pPr>
        <w:jc w:val="center"/>
        <w:rPr>
          <w:b/>
          <w:color w:val="000000"/>
        </w:rPr>
      </w:pPr>
      <w:r>
        <w:rPr>
          <w:b/>
          <w:noProof/>
          <w:color w:val="000000"/>
          <w:lang w:val="en-CA" w:eastAsia="en-CA"/>
        </w:rPr>
        <w:drawing>
          <wp:inline distT="0" distB="0" distL="0" distR="0">
            <wp:extent cx="2295525" cy="571500"/>
            <wp:effectExtent l="19050" t="0" r="9525" b="0"/>
            <wp:docPr id="1" name="Picture 1" descr="LogoStandard2poin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ndard2point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D3" w:rsidRDefault="001563D3">
      <w:pPr>
        <w:jc w:val="center"/>
        <w:rPr>
          <w:b/>
          <w:color w:val="FF0000"/>
        </w:rPr>
      </w:pPr>
    </w:p>
    <w:p w:rsidR="001563D3" w:rsidRDefault="001563D3">
      <w:pPr>
        <w:jc w:val="center"/>
        <w:rPr>
          <w:b/>
          <w:color w:val="FF0000"/>
        </w:rPr>
      </w:pPr>
    </w:p>
    <w:p w:rsidR="004F7A6F" w:rsidRDefault="0034071D">
      <w:pPr>
        <w:jc w:val="center"/>
        <w:rPr>
          <w:b/>
          <w:color w:val="000000"/>
        </w:rPr>
      </w:pPr>
      <w:r w:rsidRPr="0034071D">
        <w:rPr>
          <w:b/>
          <w:color w:val="FF0000"/>
        </w:rPr>
        <w:t>SECOND</w:t>
      </w:r>
      <w:r w:rsidR="0010592E">
        <w:rPr>
          <w:b/>
          <w:color w:val="000000"/>
        </w:rPr>
        <w:t xml:space="preserve"> </w:t>
      </w:r>
      <w:r w:rsidR="004F7A6F" w:rsidRPr="007A6AE5">
        <w:rPr>
          <w:b/>
          <w:color w:val="FF0000"/>
        </w:rPr>
        <w:t>NOTICE</w:t>
      </w:r>
      <w:r w:rsidR="004F7A6F">
        <w:rPr>
          <w:b/>
          <w:color w:val="000000"/>
        </w:rPr>
        <w:t xml:space="preserve"> OF DEVELOPMENT VARIANCE PERMIT RESOLUTION</w:t>
      </w:r>
    </w:p>
    <w:p w:rsidR="004F7A6F" w:rsidRDefault="004F7A6F">
      <w:pPr>
        <w:jc w:val="center"/>
        <w:rPr>
          <w:rFonts w:ascii="Arial Narrow" w:hAnsi="Arial Narrow"/>
          <w:b/>
          <w:color w:val="000000"/>
        </w:rPr>
      </w:pPr>
    </w:p>
    <w:p w:rsidR="00F22022" w:rsidRDefault="00F22022">
      <w:pPr>
        <w:pBdr>
          <w:top w:val="single" w:sz="12" w:space="1" w:color="auto"/>
        </w:pBdr>
        <w:rPr>
          <w:smallCaps/>
          <w:color w:val="000000"/>
        </w:rPr>
      </w:pP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 xml:space="preserve">Notice is hereby given that the Council of the City of Nanaimo, at its meeting to be held on </w:t>
      </w:r>
      <w:r w:rsidR="00532AE5">
        <w:rPr>
          <w:b/>
          <w:color w:val="000000"/>
        </w:rPr>
        <w:t>2014-SEP-29</w:t>
      </w:r>
      <w:r>
        <w:rPr>
          <w:color w:val="000000"/>
        </w:rPr>
        <w:t>, at 7:00 p.m. in the Shaw Auditorium, Vancouver Island Conference Centre, 80 Commercial Street, Nanaimo, B.C., will consider the adoption of a resolution to issue a development variance permit as follows:</w:t>
      </w:r>
    </w:p>
    <w:p w:rsidR="004F7A6F" w:rsidRDefault="004F7A6F">
      <w:pPr>
        <w:jc w:val="both"/>
        <w:rPr>
          <w:color w:val="000000"/>
        </w:rPr>
      </w:pPr>
    </w:p>
    <w:p w:rsidR="004F7A6F" w:rsidRDefault="004F7A6F">
      <w:pPr>
        <w:jc w:val="both"/>
        <w:rPr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Development Variance Permit No.</w:t>
      </w:r>
      <w:proofErr w:type="gramEnd"/>
      <w:r>
        <w:rPr>
          <w:b/>
          <w:color w:val="000000"/>
          <w:u w:val="single"/>
        </w:rPr>
        <w:t xml:space="preserve"> </w:t>
      </w:r>
      <w:r w:rsidRPr="00DA7BC2">
        <w:rPr>
          <w:b/>
          <w:noProof/>
          <w:color w:val="000000"/>
          <w:u w:val="single"/>
        </w:rPr>
        <w:t>DVP00217</w:t>
      </w:r>
    </w:p>
    <w:p w:rsidR="004F7A6F" w:rsidRDefault="004F7A6F">
      <w:pPr>
        <w:jc w:val="both"/>
        <w:rPr>
          <w:color w:val="000000"/>
          <w:u w:val="single"/>
        </w:rPr>
      </w:pPr>
    </w:p>
    <w:p w:rsidR="004F7A6F" w:rsidRDefault="004F7A6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Variance</w:t>
      </w: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 xml:space="preserve">A development variance permit application was received from </w:t>
      </w:r>
      <w:r w:rsidR="00532AE5">
        <w:rPr>
          <w:color w:val="000000"/>
        </w:rPr>
        <w:t>STANTEC ARCHITECTURE LTD.</w:t>
      </w:r>
      <w:r>
        <w:rPr>
          <w:color w:val="000000"/>
        </w:rPr>
        <w:t xml:space="preserve"> (Mr. </w:t>
      </w:r>
      <w:r w:rsidR="00532AE5">
        <w:rPr>
          <w:color w:val="000000"/>
        </w:rPr>
        <w:t>Doug Hamming</w:t>
      </w:r>
      <w:r>
        <w:rPr>
          <w:color w:val="000000"/>
        </w:rPr>
        <w:t xml:space="preserve">), on behalf of </w:t>
      </w:r>
      <w:r w:rsidR="00532AE5">
        <w:rPr>
          <w:color w:val="000000"/>
        </w:rPr>
        <w:t xml:space="preserve">the </w:t>
      </w:r>
      <w:r>
        <w:rPr>
          <w:color w:val="000000"/>
        </w:rPr>
        <w:t>B</w:t>
      </w:r>
      <w:r w:rsidR="00532AE5">
        <w:rPr>
          <w:color w:val="000000"/>
        </w:rPr>
        <w:t xml:space="preserve">RITISH </w:t>
      </w:r>
      <w:r>
        <w:rPr>
          <w:color w:val="000000"/>
        </w:rPr>
        <w:t>C</w:t>
      </w:r>
      <w:r w:rsidR="00532AE5">
        <w:rPr>
          <w:color w:val="000000"/>
        </w:rPr>
        <w:t>OLUMBIA</w:t>
      </w:r>
      <w:r>
        <w:rPr>
          <w:color w:val="000000"/>
        </w:rPr>
        <w:t xml:space="preserve"> TRANSPORTATION FINANCING AUTHORITY, to vary the provisions of  the </w:t>
      </w:r>
      <w:r w:rsidRPr="00565292">
        <w:rPr>
          <w:color w:val="000000"/>
        </w:rPr>
        <w:t xml:space="preserve">City of Nanaimo </w:t>
      </w:r>
      <w:r>
        <w:rPr>
          <w:color w:val="000000"/>
        </w:rPr>
        <w:t>“</w:t>
      </w:r>
      <w:r w:rsidR="00EC7CBB">
        <w:rPr>
          <w:color w:val="000000"/>
        </w:rPr>
        <w:t>SIGN BYLAW 1987 NO. 2850</w:t>
      </w:r>
      <w:r>
        <w:rPr>
          <w:color w:val="000000"/>
        </w:rPr>
        <w:t>”</w:t>
      </w:r>
      <w:r w:rsidRPr="00565292">
        <w:rPr>
          <w:color w:val="000000"/>
        </w:rPr>
        <w:t xml:space="preserve"> </w:t>
      </w:r>
      <w:r>
        <w:rPr>
          <w:color w:val="000000"/>
        </w:rPr>
        <w:t>in order to</w:t>
      </w:r>
      <w:r w:rsidR="00833823">
        <w:rPr>
          <w:color w:val="000000"/>
        </w:rPr>
        <w:t xml:space="preserve"> permit </w:t>
      </w:r>
      <w:r w:rsidR="00532AE5">
        <w:rPr>
          <w:color w:val="000000"/>
        </w:rPr>
        <w:t>three</w:t>
      </w:r>
      <w:r w:rsidR="00833823">
        <w:rPr>
          <w:color w:val="000000"/>
        </w:rPr>
        <w:t xml:space="preserve"> LED </w:t>
      </w:r>
      <w:r w:rsidR="00532AE5">
        <w:rPr>
          <w:color w:val="000000"/>
        </w:rPr>
        <w:t xml:space="preserve">animated </w:t>
      </w:r>
      <w:r w:rsidR="00833823">
        <w:rPr>
          <w:color w:val="000000"/>
        </w:rPr>
        <w:t>signs at the Departure Bay Ferry Terminal.</w:t>
      </w:r>
    </w:p>
    <w:p w:rsidR="004F7A6F" w:rsidRDefault="004F7A6F" w:rsidP="00565292">
      <w:pPr>
        <w:jc w:val="center"/>
        <w:rPr>
          <w:color w:val="000000"/>
        </w:rPr>
      </w:pPr>
    </w:p>
    <w:p w:rsidR="004F7A6F" w:rsidRDefault="004F7A6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Bylaw Regulations</w:t>
      </w:r>
    </w:p>
    <w:p w:rsidR="003422F3" w:rsidRDefault="004F7A6F" w:rsidP="003422F3">
      <w:pPr>
        <w:keepLines/>
        <w:jc w:val="both"/>
        <w:rPr>
          <w:color w:val="000000"/>
        </w:rPr>
      </w:pPr>
      <w:proofErr w:type="gramStart"/>
      <w:r>
        <w:rPr>
          <w:color w:val="000000"/>
        </w:rPr>
        <w:t xml:space="preserve">Section </w:t>
      </w:r>
      <w:r w:rsidR="00833823">
        <w:rPr>
          <w:color w:val="000000"/>
        </w:rPr>
        <w:t>3 (22)</w:t>
      </w:r>
      <w:r>
        <w:rPr>
          <w:color w:val="000000"/>
        </w:rPr>
        <w:t xml:space="preserve"> of the </w:t>
      </w:r>
      <w:r w:rsidRPr="00565292">
        <w:rPr>
          <w:color w:val="000000"/>
        </w:rPr>
        <w:t xml:space="preserve">City of Nanaimo </w:t>
      </w:r>
      <w:r>
        <w:rPr>
          <w:color w:val="000000"/>
        </w:rPr>
        <w:t>“</w:t>
      </w:r>
      <w:r w:rsidR="00833823">
        <w:rPr>
          <w:color w:val="000000"/>
        </w:rPr>
        <w:t>SIGN</w:t>
      </w:r>
      <w:r>
        <w:rPr>
          <w:color w:val="000000"/>
        </w:rPr>
        <w:t xml:space="preserve"> BYLAW </w:t>
      </w:r>
      <w:r w:rsidR="00833823">
        <w:rPr>
          <w:color w:val="000000"/>
        </w:rPr>
        <w:t>1987</w:t>
      </w:r>
      <w:r>
        <w:rPr>
          <w:color w:val="000000"/>
        </w:rPr>
        <w:t xml:space="preserve"> NO.</w:t>
      </w:r>
      <w:proofErr w:type="gramEnd"/>
      <w:r>
        <w:rPr>
          <w:color w:val="000000"/>
        </w:rPr>
        <w:t xml:space="preserve"> </w:t>
      </w:r>
      <w:r w:rsidR="00833823">
        <w:rPr>
          <w:color w:val="000000"/>
        </w:rPr>
        <w:t>2850</w:t>
      </w:r>
      <w:r>
        <w:rPr>
          <w:color w:val="000000"/>
        </w:rPr>
        <w:t xml:space="preserve">” </w:t>
      </w:r>
      <w:r w:rsidR="003422F3">
        <w:rPr>
          <w:color w:val="000000"/>
        </w:rPr>
        <w:t>prohibits “a sign which is animated or includes automated changeable copy except where approved through a development variance permit”.  Section 5 (5) (A) (iii) (a) of the Sign Bylaw limits the maximum allowable sign area for a freestanding sign within the Waterfront Zones to 10m</w:t>
      </w:r>
      <w:r w:rsidR="003422F3" w:rsidRPr="00D7745B">
        <w:rPr>
          <w:color w:val="000000"/>
          <w:vertAlign w:val="superscript"/>
        </w:rPr>
        <w:t>2</w:t>
      </w:r>
      <w:r w:rsidR="003422F3">
        <w:rPr>
          <w:color w:val="000000"/>
        </w:rPr>
        <w:t xml:space="preserve">.  </w:t>
      </w:r>
    </w:p>
    <w:p w:rsidR="003422F3" w:rsidRDefault="003422F3" w:rsidP="003422F3">
      <w:pPr>
        <w:keepLines/>
        <w:jc w:val="both"/>
        <w:rPr>
          <w:color w:val="000000"/>
        </w:rPr>
      </w:pPr>
    </w:p>
    <w:p w:rsidR="003422F3" w:rsidRPr="00DA08F1" w:rsidRDefault="003422F3" w:rsidP="003422F3">
      <w:pPr>
        <w:keepLines/>
        <w:jc w:val="both"/>
        <w:rPr>
          <w:b/>
          <w:color w:val="000000"/>
        </w:rPr>
      </w:pPr>
      <w:r w:rsidRPr="002340B4">
        <w:rPr>
          <w:color w:val="000000"/>
        </w:rPr>
        <w:t xml:space="preserve">A variance is required to permit </w:t>
      </w:r>
      <w:r w:rsidR="0034071D">
        <w:rPr>
          <w:color w:val="000000"/>
        </w:rPr>
        <w:t>3</w:t>
      </w:r>
      <w:r w:rsidRPr="002340B4">
        <w:rPr>
          <w:color w:val="000000"/>
        </w:rPr>
        <w:t xml:space="preserve"> automated changeable copy (LED) signs of </w:t>
      </w:r>
      <w:r w:rsidR="00D270EF">
        <w:rPr>
          <w:color w:val="000000"/>
        </w:rPr>
        <w:t>20.21</w:t>
      </w:r>
      <w:r w:rsidRPr="002340B4">
        <w:rPr>
          <w:color w:val="000000"/>
        </w:rPr>
        <w:t>m</w:t>
      </w:r>
      <w:r w:rsidRPr="002340B4">
        <w:rPr>
          <w:color w:val="000000"/>
          <w:vertAlign w:val="superscript"/>
        </w:rPr>
        <w:t>2</w:t>
      </w:r>
      <w:r w:rsidRPr="002340B4">
        <w:rPr>
          <w:color w:val="000000"/>
        </w:rPr>
        <w:t xml:space="preserve"> each on the subject property.  </w:t>
      </w:r>
      <w:r w:rsidR="0010592E" w:rsidRPr="00DA08F1">
        <w:rPr>
          <w:b/>
          <w:color w:val="000000"/>
        </w:rPr>
        <w:t>NOTE- this is a</w:t>
      </w:r>
      <w:r w:rsidR="0034071D">
        <w:rPr>
          <w:b/>
          <w:color w:val="000000"/>
        </w:rPr>
        <w:t>n</w:t>
      </w:r>
      <w:r w:rsidR="0010592E" w:rsidRPr="00DA08F1">
        <w:rPr>
          <w:b/>
          <w:color w:val="000000"/>
        </w:rPr>
        <w:t xml:space="preserve"> </w:t>
      </w:r>
      <w:r w:rsidR="0034071D">
        <w:rPr>
          <w:b/>
          <w:color w:val="000000"/>
        </w:rPr>
        <w:t xml:space="preserve">amended </w:t>
      </w:r>
      <w:r w:rsidR="0010592E" w:rsidRPr="00DA08F1">
        <w:rPr>
          <w:b/>
          <w:color w:val="000000"/>
        </w:rPr>
        <w:t xml:space="preserve">variance </w:t>
      </w:r>
      <w:r w:rsidR="00BE0124">
        <w:rPr>
          <w:b/>
          <w:color w:val="000000"/>
        </w:rPr>
        <w:t>of</w:t>
      </w:r>
      <w:r w:rsidR="0010592E" w:rsidRPr="00DA08F1">
        <w:rPr>
          <w:b/>
          <w:color w:val="000000"/>
        </w:rPr>
        <w:t xml:space="preserve"> the applicant</w:t>
      </w:r>
      <w:r w:rsidR="00371AF5">
        <w:rPr>
          <w:b/>
          <w:color w:val="000000"/>
        </w:rPr>
        <w:t>’</w:t>
      </w:r>
      <w:r w:rsidR="0010592E" w:rsidRPr="00DA08F1">
        <w:rPr>
          <w:b/>
          <w:color w:val="000000"/>
        </w:rPr>
        <w:t xml:space="preserve">s </w:t>
      </w:r>
      <w:r w:rsidR="00BE0124">
        <w:rPr>
          <w:b/>
          <w:color w:val="000000"/>
        </w:rPr>
        <w:t>original</w:t>
      </w:r>
      <w:r w:rsidR="0010592E" w:rsidRPr="00DA08F1">
        <w:rPr>
          <w:b/>
          <w:color w:val="000000"/>
        </w:rPr>
        <w:t xml:space="preserve"> request (see back page for explanation of changes).</w:t>
      </w:r>
    </w:p>
    <w:p w:rsidR="004F7A6F" w:rsidRDefault="004F7A6F">
      <w:pPr>
        <w:jc w:val="both"/>
        <w:rPr>
          <w:color w:val="000000"/>
        </w:rPr>
      </w:pPr>
    </w:p>
    <w:p w:rsidR="004F7A6F" w:rsidRDefault="004F7A6F">
      <w:pPr>
        <w:jc w:val="both"/>
        <w:rPr>
          <w:color w:val="000000"/>
        </w:rPr>
      </w:pPr>
      <w:r>
        <w:rPr>
          <w:color w:val="000000"/>
          <w:u w:val="single"/>
        </w:rPr>
        <w:t>Location</w:t>
      </w: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 xml:space="preserve">The subject property is located at </w:t>
      </w:r>
      <w:r w:rsidRPr="00DA7BC2">
        <w:rPr>
          <w:noProof/>
          <w:color w:val="000000"/>
        </w:rPr>
        <w:t>680 TRANS</w:t>
      </w:r>
      <w:r w:rsidR="00371AF5">
        <w:rPr>
          <w:noProof/>
          <w:color w:val="000000"/>
        </w:rPr>
        <w:t xml:space="preserve"> </w:t>
      </w:r>
      <w:r w:rsidRPr="00DA7BC2">
        <w:rPr>
          <w:noProof/>
          <w:color w:val="000000"/>
        </w:rPr>
        <w:t>CANADA HWY</w:t>
      </w:r>
      <w:r>
        <w:rPr>
          <w:color w:val="000000"/>
        </w:rPr>
        <w:t xml:space="preserve">.  This property is legally described as </w:t>
      </w:r>
      <w:r w:rsidR="003422F3" w:rsidRPr="00DA7BC2">
        <w:rPr>
          <w:noProof/>
          <w:color w:val="000000"/>
        </w:rPr>
        <w:t>Block H, Plan V</w:t>
      </w:r>
      <w:r w:rsidR="00EC7CBB">
        <w:rPr>
          <w:noProof/>
          <w:color w:val="000000"/>
        </w:rPr>
        <w:t>IP</w:t>
      </w:r>
      <w:r w:rsidR="003422F3" w:rsidRPr="00DA7BC2">
        <w:rPr>
          <w:noProof/>
          <w:color w:val="000000"/>
        </w:rPr>
        <w:t>75206, District Lot 227, Section B1, Block A, District Lot 227 &amp; 442 V</w:t>
      </w:r>
      <w:r w:rsidR="00EC7CBB">
        <w:rPr>
          <w:noProof/>
          <w:color w:val="000000"/>
        </w:rPr>
        <w:t>IP</w:t>
      </w:r>
      <w:r w:rsidR="003422F3" w:rsidRPr="00DA7BC2">
        <w:rPr>
          <w:noProof/>
          <w:color w:val="000000"/>
        </w:rPr>
        <w:t xml:space="preserve">75207; </w:t>
      </w:r>
      <w:r w:rsidR="00EC7CBB">
        <w:rPr>
          <w:noProof/>
          <w:color w:val="000000"/>
        </w:rPr>
        <w:t>P</w:t>
      </w:r>
      <w:r w:rsidR="003422F3" w:rsidRPr="00DA7BC2">
        <w:rPr>
          <w:noProof/>
          <w:color w:val="000000"/>
        </w:rPr>
        <w:t xml:space="preserve">art </w:t>
      </w:r>
      <w:r w:rsidR="00EC7CBB">
        <w:rPr>
          <w:noProof/>
          <w:color w:val="000000"/>
        </w:rPr>
        <w:t>o</w:t>
      </w:r>
      <w:r w:rsidR="003422F3" w:rsidRPr="00DA7BC2">
        <w:rPr>
          <w:noProof/>
          <w:color w:val="000000"/>
        </w:rPr>
        <w:t xml:space="preserve">f Section 1 </w:t>
      </w:r>
      <w:r w:rsidR="00EC7CBB">
        <w:rPr>
          <w:noProof/>
          <w:color w:val="000000"/>
        </w:rPr>
        <w:t>i</w:t>
      </w:r>
      <w:r w:rsidR="003422F3" w:rsidRPr="00DA7BC2">
        <w:rPr>
          <w:noProof/>
          <w:color w:val="000000"/>
        </w:rPr>
        <w:t xml:space="preserve">n </w:t>
      </w:r>
      <w:r w:rsidR="00EC7CBB">
        <w:rPr>
          <w:noProof/>
          <w:color w:val="000000"/>
        </w:rPr>
        <w:t>r</w:t>
      </w:r>
      <w:r w:rsidR="003422F3" w:rsidRPr="00DA7BC2">
        <w:rPr>
          <w:noProof/>
          <w:color w:val="000000"/>
        </w:rPr>
        <w:t xml:space="preserve">ed </w:t>
      </w:r>
      <w:r w:rsidR="00EC7CBB">
        <w:rPr>
          <w:noProof/>
          <w:color w:val="000000"/>
        </w:rPr>
        <w:t>o</w:t>
      </w:r>
      <w:r w:rsidR="003422F3" w:rsidRPr="00DA7BC2">
        <w:rPr>
          <w:noProof/>
          <w:color w:val="000000"/>
        </w:rPr>
        <w:t>n Plan 1023</w:t>
      </w:r>
      <w:r w:rsidR="00EC7CBB">
        <w:rPr>
          <w:noProof/>
          <w:color w:val="000000"/>
        </w:rPr>
        <w:t>R</w:t>
      </w:r>
      <w:r w:rsidR="003422F3" w:rsidRPr="00DA7BC2">
        <w:rPr>
          <w:noProof/>
          <w:color w:val="000000"/>
        </w:rPr>
        <w:t xml:space="preserve"> </w:t>
      </w:r>
      <w:r w:rsidR="00EC7CBB">
        <w:rPr>
          <w:noProof/>
          <w:color w:val="000000"/>
        </w:rPr>
        <w:t>e</w:t>
      </w:r>
      <w:r w:rsidR="003422F3" w:rsidRPr="00DA7BC2">
        <w:rPr>
          <w:noProof/>
          <w:color w:val="000000"/>
        </w:rPr>
        <w:t>xcept 11762, 1402</w:t>
      </w:r>
      <w:r w:rsidR="00EC7CBB">
        <w:rPr>
          <w:noProof/>
          <w:color w:val="000000"/>
        </w:rPr>
        <w:t>RW</w:t>
      </w:r>
      <w:r w:rsidR="003422F3" w:rsidRPr="00DA7BC2">
        <w:rPr>
          <w:noProof/>
          <w:color w:val="000000"/>
        </w:rPr>
        <w:t xml:space="preserve"> </w:t>
      </w:r>
      <w:r w:rsidR="00EC7CBB">
        <w:rPr>
          <w:noProof/>
          <w:color w:val="000000"/>
        </w:rPr>
        <w:t>a</w:t>
      </w:r>
      <w:r w:rsidR="003422F3" w:rsidRPr="00DA7BC2">
        <w:rPr>
          <w:noProof/>
          <w:color w:val="000000"/>
        </w:rPr>
        <w:t xml:space="preserve">nd 42141; Part </w:t>
      </w:r>
      <w:r w:rsidR="00EC7CBB">
        <w:rPr>
          <w:noProof/>
          <w:color w:val="000000"/>
        </w:rPr>
        <w:t>o</w:t>
      </w:r>
      <w:r w:rsidR="003422F3" w:rsidRPr="00DA7BC2">
        <w:rPr>
          <w:noProof/>
          <w:color w:val="000000"/>
        </w:rPr>
        <w:t xml:space="preserve">f Lot 1 </w:t>
      </w:r>
      <w:r w:rsidR="00EC7CBB">
        <w:rPr>
          <w:noProof/>
          <w:color w:val="000000"/>
        </w:rPr>
        <w:t>i</w:t>
      </w:r>
      <w:r w:rsidR="003422F3" w:rsidRPr="00DA7BC2">
        <w:rPr>
          <w:noProof/>
          <w:color w:val="000000"/>
        </w:rPr>
        <w:t>n 1402</w:t>
      </w:r>
      <w:r w:rsidR="00EC7CBB">
        <w:rPr>
          <w:noProof/>
          <w:color w:val="000000"/>
        </w:rPr>
        <w:t>RW</w:t>
      </w:r>
      <w:r w:rsidR="003422F3" w:rsidRPr="00DA7BC2">
        <w:rPr>
          <w:noProof/>
          <w:color w:val="000000"/>
        </w:rPr>
        <w:t xml:space="preserve"> </w:t>
      </w:r>
      <w:r w:rsidR="00EC7CBB">
        <w:rPr>
          <w:noProof/>
          <w:color w:val="000000"/>
        </w:rPr>
        <w:t>o</w:t>
      </w:r>
      <w:r w:rsidR="003422F3" w:rsidRPr="00DA7BC2">
        <w:rPr>
          <w:noProof/>
          <w:color w:val="000000"/>
        </w:rPr>
        <w:t xml:space="preserve">f Plan 11762 </w:t>
      </w:r>
      <w:r w:rsidR="00EC7CBB">
        <w:rPr>
          <w:noProof/>
          <w:color w:val="000000"/>
        </w:rPr>
        <w:t>e</w:t>
      </w:r>
      <w:r w:rsidR="003422F3" w:rsidRPr="00DA7BC2">
        <w:rPr>
          <w:noProof/>
          <w:color w:val="000000"/>
        </w:rPr>
        <w:t>xcept V</w:t>
      </w:r>
      <w:r w:rsidR="00EC7CBB">
        <w:rPr>
          <w:noProof/>
          <w:color w:val="000000"/>
        </w:rPr>
        <w:t>IP</w:t>
      </w:r>
      <w:r w:rsidR="003422F3" w:rsidRPr="00DA7BC2">
        <w:rPr>
          <w:noProof/>
          <w:color w:val="000000"/>
        </w:rPr>
        <w:t xml:space="preserve">69889; Lot A Plan 46150 </w:t>
      </w:r>
      <w:r w:rsidR="00EC7CBB">
        <w:rPr>
          <w:noProof/>
          <w:color w:val="000000"/>
        </w:rPr>
        <w:t>a</w:t>
      </w:r>
      <w:r w:rsidR="003422F3" w:rsidRPr="00DA7BC2">
        <w:rPr>
          <w:noProof/>
          <w:color w:val="000000"/>
        </w:rPr>
        <w:t>nd Lot 1 Section 1, Nanaimo District, Plan V</w:t>
      </w:r>
      <w:r w:rsidR="00EC7CBB">
        <w:rPr>
          <w:noProof/>
          <w:color w:val="000000"/>
        </w:rPr>
        <w:t>IP</w:t>
      </w:r>
      <w:r w:rsidR="003422F3" w:rsidRPr="00DA7BC2">
        <w:rPr>
          <w:noProof/>
          <w:color w:val="000000"/>
        </w:rPr>
        <w:t xml:space="preserve">85783 (Licence 112720 </w:t>
      </w:r>
      <w:r w:rsidR="00EC7CBB">
        <w:rPr>
          <w:noProof/>
          <w:color w:val="000000"/>
        </w:rPr>
        <w:t>f</w:t>
      </w:r>
      <w:r w:rsidR="003422F3" w:rsidRPr="00DA7BC2">
        <w:rPr>
          <w:noProof/>
          <w:color w:val="000000"/>
        </w:rPr>
        <w:t xml:space="preserve">or </w:t>
      </w:r>
      <w:r w:rsidR="00EC7CBB">
        <w:rPr>
          <w:noProof/>
          <w:color w:val="000000"/>
        </w:rPr>
        <w:t>c</w:t>
      </w:r>
      <w:r w:rsidR="003422F3" w:rsidRPr="00DA7BC2">
        <w:rPr>
          <w:noProof/>
          <w:color w:val="000000"/>
        </w:rPr>
        <w:t xml:space="preserve">ommercial </w:t>
      </w:r>
      <w:r w:rsidR="00EC7CBB">
        <w:rPr>
          <w:noProof/>
          <w:color w:val="000000"/>
        </w:rPr>
        <w:t>w</w:t>
      </w:r>
      <w:r w:rsidR="003422F3" w:rsidRPr="00DA7BC2">
        <w:rPr>
          <w:noProof/>
          <w:color w:val="000000"/>
        </w:rPr>
        <w:t xml:space="preserve">harf </w:t>
      </w:r>
      <w:r w:rsidR="00EC7CBB">
        <w:rPr>
          <w:noProof/>
          <w:color w:val="000000"/>
        </w:rPr>
        <w:t>p</w:t>
      </w:r>
      <w:r w:rsidR="003422F3" w:rsidRPr="00DA7BC2">
        <w:rPr>
          <w:noProof/>
          <w:color w:val="000000"/>
        </w:rPr>
        <w:t>urposes</w:t>
      </w:r>
      <w:r w:rsidRPr="00DA7BC2">
        <w:rPr>
          <w:noProof/>
          <w:color w:val="000000"/>
        </w:rPr>
        <w:t>)</w:t>
      </w:r>
      <w:r>
        <w:rPr>
          <w:color w:val="000000"/>
        </w:rPr>
        <w:t>.  The subject property is identified on Schedule A.</w:t>
      </w:r>
    </w:p>
    <w:p w:rsidR="004F7A6F" w:rsidRDefault="004F7A6F">
      <w:pPr>
        <w:jc w:val="both"/>
        <w:rPr>
          <w:color w:val="000000"/>
        </w:rPr>
      </w:pP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>This application may be reviewed at the Community Safety &amp; Development Division</w:t>
      </w:r>
      <w:proofErr w:type="gramStart"/>
      <w:r>
        <w:rPr>
          <w:color w:val="000000"/>
        </w:rPr>
        <w:t>,</w:t>
      </w:r>
      <w:proofErr w:type="gramEnd"/>
      <w:r w:rsidR="00C359B1">
        <w:rPr>
          <w:color w:val="000000"/>
        </w:rPr>
        <w:br/>
        <w:t>411 Dunsmuir</w:t>
      </w:r>
      <w:r>
        <w:rPr>
          <w:color w:val="000000"/>
        </w:rPr>
        <w:t xml:space="preserve"> Street, Nanaimo, B.C., during normal business hours 8:30</w:t>
      </w:r>
      <w:r w:rsidR="00371AF5">
        <w:rPr>
          <w:color w:val="000000"/>
        </w:rPr>
        <w:t> </w:t>
      </w:r>
      <w:r>
        <w:rPr>
          <w:color w:val="000000"/>
        </w:rPr>
        <w:t>a.m. to 4:30 p.m., Monday to Friday, excluding statutory holidays</w:t>
      </w:r>
      <w:r w:rsidR="00310D13">
        <w:rPr>
          <w:color w:val="000000"/>
        </w:rPr>
        <w:t>, from 2014-SEP-18</w:t>
      </w:r>
      <w:r w:rsidR="00EC7CBB">
        <w:rPr>
          <w:color w:val="000000"/>
        </w:rPr>
        <w:t xml:space="preserve"> to</w:t>
      </w:r>
      <w:r w:rsidR="00EC7CBB">
        <w:rPr>
          <w:color w:val="000000"/>
        </w:rPr>
        <w:br/>
      </w:r>
      <w:r w:rsidR="00310D13">
        <w:rPr>
          <w:color w:val="000000"/>
        </w:rPr>
        <w:t>2014-SEP-29</w:t>
      </w:r>
      <w:r>
        <w:rPr>
          <w:color w:val="000000"/>
        </w:rPr>
        <w:t>, inclusive.  Anyone wishing to address this matter will be given the opportunity to be heard at the Council meeting.</w:t>
      </w:r>
    </w:p>
    <w:p w:rsidR="004F7A6F" w:rsidRDefault="004F7A6F">
      <w:pPr>
        <w:jc w:val="both"/>
        <w:rPr>
          <w:color w:val="000000"/>
        </w:rPr>
      </w:pP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 xml:space="preserve">This notification is published in accordance with Section 922 of the </w:t>
      </w:r>
      <w:r>
        <w:rPr>
          <w:i/>
          <w:color w:val="000000"/>
        </w:rPr>
        <w:t>Local Government Act.</w:t>
      </w:r>
    </w:p>
    <w:p w:rsidR="004F7A6F" w:rsidRDefault="004F7A6F">
      <w:pPr>
        <w:jc w:val="both"/>
        <w:rPr>
          <w:color w:val="000000"/>
        </w:rPr>
      </w:pPr>
    </w:p>
    <w:p w:rsidR="004F7A6F" w:rsidRPr="001D637D" w:rsidRDefault="004F7A6F">
      <w:pPr>
        <w:jc w:val="both"/>
        <w:rPr>
          <w:b/>
          <w:i/>
          <w:color w:val="000000"/>
        </w:rPr>
      </w:pPr>
      <w:r w:rsidRPr="001D637D">
        <w:rPr>
          <w:b/>
          <w:i/>
          <w:color w:val="000000"/>
        </w:rPr>
        <w:t>Community Safety &amp; Development</w:t>
      </w: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>CITY OF NANAIMO</w:t>
      </w:r>
    </w:p>
    <w:p w:rsidR="004F7A6F" w:rsidRDefault="004F7A6F">
      <w:pPr>
        <w:jc w:val="both"/>
        <w:rPr>
          <w:color w:val="000000"/>
        </w:rPr>
      </w:pPr>
      <w:r>
        <w:rPr>
          <w:color w:val="000000"/>
        </w:rPr>
        <w:t>250 755-4429</w:t>
      </w:r>
    </w:p>
    <w:p w:rsidR="004F7A6F" w:rsidRDefault="004F7A6F">
      <w:pPr>
        <w:jc w:val="both"/>
        <w:rPr>
          <w:color w:val="000000"/>
        </w:rPr>
      </w:pPr>
    </w:p>
    <w:p w:rsidR="004F7A6F" w:rsidRDefault="004F7A6F">
      <w:pPr>
        <w:jc w:val="both"/>
        <w:rPr>
          <w:color w:val="000000"/>
        </w:rPr>
      </w:pPr>
    </w:p>
    <w:p w:rsidR="0010592E" w:rsidRPr="007A6AE5" w:rsidRDefault="0010592E" w:rsidP="007A6AE5">
      <w:pPr>
        <w:jc w:val="both"/>
        <w:rPr>
          <w:rFonts w:cs="Arial"/>
        </w:rPr>
      </w:pPr>
      <w:r>
        <w:rPr>
          <w:rFonts w:cs="Arial"/>
          <w:b/>
          <w:smallCaps/>
          <w:color w:val="FF0000"/>
        </w:rPr>
        <w:lastRenderedPageBreak/>
        <w:t xml:space="preserve">PLEASE </w:t>
      </w:r>
      <w:r w:rsidRPr="009040B8">
        <w:rPr>
          <w:rFonts w:cs="Arial"/>
          <w:b/>
          <w:smallCaps/>
          <w:color w:val="FF0000"/>
        </w:rPr>
        <w:t>NOTE:</w:t>
      </w:r>
      <w:r w:rsidRPr="009040B8">
        <w:rPr>
          <w:rFonts w:cs="Arial"/>
          <w:smallCaps/>
          <w:color w:val="FF0000"/>
        </w:rPr>
        <w:t xml:space="preserve">  </w:t>
      </w:r>
      <w:r w:rsidRPr="007A6AE5">
        <w:rPr>
          <w:rFonts w:cs="Arial"/>
          <w:smallCaps/>
        </w:rPr>
        <w:t>T</w:t>
      </w:r>
      <w:r w:rsidRPr="007A6AE5">
        <w:rPr>
          <w:rFonts w:cs="Arial"/>
        </w:rPr>
        <w:t xml:space="preserve">his is the second City of Nanaimo </w:t>
      </w:r>
      <w:r w:rsidR="007A6AE5" w:rsidRPr="007A6AE5">
        <w:rPr>
          <w:rFonts w:cs="Arial"/>
        </w:rPr>
        <w:t>NOTICE</w:t>
      </w:r>
      <w:r w:rsidRPr="007A6AE5">
        <w:rPr>
          <w:rFonts w:cs="Arial"/>
        </w:rPr>
        <w:t xml:space="preserve"> you may have received regarding this application for LED signs at the Departure Bay Ferry Terminal.  An earlier notice was sent regarding the 2013-OCT-7 Council meeting</w:t>
      </w:r>
      <w:r w:rsidR="007A6AE5" w:rsidRPr="007A6AE5">
        <w:rPr>
          <w:rFonts w:cs="Arial"/>
        </w:rPr>
        <w:t>.  A</w:t>
      </w:r>
      <w:r w:rsidRPr="007A6AE5">
        <w:rPr>
          <w:rFonts w:cs="Arial"/>
        </w:rPr>
        <w:t>t this meeting</w:t>
      </w:r>
      <w:r w:rsidR="007A6AE5" w:rsidRPr="007A6AE5">
        <w:rPr>
          <w:rFonts w:cs="Arial"/>
        </w:rPr>
        <w:t>,</w:t>
      </w:r>
      <w:r w:rsidRPr="007A6AE5">
        <w:rPr>
          <w:rFonts w:cs="Arial"/>
        </w:rPr>
        <w:t xml:space="preserve"> Council referred the application back to staff for further consultation between BC Ferries and the </w:t>
      </w:r>
      <w:proofErr w:type="spellStart"/>
      <w:r w:rsidRPr="007A6AE5">
        <w:rPr>
          <w:rFonts w:cs="Arial"/>
        </w:rPr>
        <w:t>Brechin</w:t>
      </w:r>
      <w:proofErr w:type="spellEnd"/>
      <w:r w:rsidRPr="007A6AE5">
        <w:rPr>
          <w:rFonts w:cs="Arial"/>
        </w:rPr>
        <w:t xml:space="preserve"> Hill Community Association.  As part of their consultation process on 2013-OCT-24</w:t>
      </w:r>
      <w:r w:rsidR="007A6AE5" w:rsidRPr="007A6AE5">
        <w:rPr>
          <w:rFonts w:cs="Arial"/>
        </w:rPr>
        <w:t>,</w:t>
      </w:r>
      <w:r w:rsidRPr="007A6AE5">
        <w:rPr>
          <w:rFonts w:cs="Arial"/>
        </w:rPr>
        <w:t xml:space="preserve"> BC Ferries hosted an open house on the subject property</w:t>
      </w:r>
      <w:r w:rsidR="007A6AE5" w:rsidRPr="007A6AE5">
        <w:rPr>
          <w:rFonts w:cs="Arial"/>
        </w:rPr>
        <w:t>,</w:t>
      </w:r>
      <w:r w:rsidRPr="007A6AE5">
        <w:rPr>
          <w:rFonts w:cs="Arial"/>
        </w:rPr>
        <w:t xml:space="preserve"> regarding the proposed signage.  The applicants have since revised their applications based on comments heard during this consultation by:</w:t>
      </w:r>
    </w:p>
    <w:p w:rsidR="0034071D" w:rsidRDefault="0034071D" w:rsidP="0034071D">
      <w:pPr>
        <w:pStyle w:val="ListParagraph"/>
        <w:keepLines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</w:t>
      </w:r>
      <w:r w:rsidRPr="00EA0ED3">
        <w:rPr>
          <w:color w:val="000000"/>
        </w:rPr>
        <w:t xml:space="preserve">educing the LED sign </w:t>
      </w:r>
      <w:r>
        <w:rPr>
          <w:color w:val="000000"/>
        </w:rPr>
        <w:t>height for the free standing signs by 5.3m (3.8m without light baffle included);</w:t>
      </w:r>
    </w:p>
    <w:p w:rsidR="0034071D" w:rsidRDefault="0034071D" w:rsidP="0034071D">
      <w:pPr>
        <w:pStyle w:val="ListParagraph"/>
        <w:keepLines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reducing the individual LED sign size by 10.9m</w:t>
      </w:r>
      <w:r w:rsidRPr="00596706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34071D" w:rsidRDefault="0034071D" w:rsidP="0034071D">
      <w:pPr>
        <w:pStyle w:val="ListParagraph"/>
        <w:keepLines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reducing the overall sign area by 1.6m</w:t>
      </w:r>
      <w:r w:rsidRPr="00596706">
        <w:rPr>
          <w:color w:val="000000"/>
          <w:vertAlign w:val="superscript"/>
        </w:rPr>
        <w:t>2</w:t>
      </w:r>
      <w:r>
        <w:rPr>
          <w:color w:val="000000"/>
        </w:rPr>
        <w:t>; and</w:t>
      </w:r>
    </w:p>
    <w:p w:rsidR="0034071D" w:rsidRDefault="0034071D" w:rsidP="0034071D">
      <w:pPr>
        <w:pStyle w:val="ListParagraph"/>
        <w:keepLines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increasing</w:t>
      </w:r>
      <w:proofErr w:type="gramEnd"/>
      <w:r>
        <w:rPr>
          <w:color w:val="000000"/>
        </w:rPr>
        <w:t xml:space="preserve"> the number of LED signs from two to three.</w:t>
      </w:r>
    </w:p>
    <w:p w:rsidR="00AB0B0E" w:rsidRDefault="00AB0B0E" w:rsidP="00AB0B0E">
      <w:pPr>
        <w:keepLines/>
        <w:jc w:val="both"/>
        <w:rPr>
          <w:color w:val="000000"/>
        </w:rPr>
      </w:pPr>
    </w:p>
    <w:p w:rsidR="00AB0B0E" w:rsidRPr="00AB0B0E" w:rsidRDefault="00AB0B0E" w:rsidP="00AB0B0E">
      <w:pPr>
        <w:keepLines/>
        <w:jc w:val="both"/>
        <w:rPr>
          <w:color w:val="000000"/>
        </w:rPr>
      </w:pPr>
      <w:r>
        <w:rPr>
          <w:color w:val="000000"/>
        </w:rPr>
        <w:t xml:space="preserve">An information package regarding the proposed changes may have already been sent to you by the applicant.  </w:t>
      </w:r>
    </w:p>
    <w:p w:rsidR="0010592E" w:rsidRDefault="0010592E">
      <w:pPr>
        <w:jc w:val="both"/>
        <w:rPr>
          <w:color w:val="000000"/>
        </w:rPr>
      </w:pPr>
    </w:p>
    <w:p w:rsidR="0010592E" w:rsidRDefault="006D4659">
      <w:pPr>
        <w:jc w:val="both"/>
        <w:rPr>
          <w:b/>
          <w:color w:val="000000"/>
        </w:rPr>
      </w:pPr>
      <w:r w:rsidRPr="008747D9">
        <w:rPr>
          <w:b/>
          <w:color w:val="000000"/>
        </w:rPr>
        <w:t>The application is set to return to Council on 201</w:t>
      </w:r>
      <w:r w:rsidR="00436E3B">
        <w:rPr>
          <w:b/>
          <w:color w:val="000000"/>
        </w:rPr>
        <w:t xml:space="preserve">4-SEP-29 </w:t>
      </w:r>
      <w:r w:rsidRPr="008747D9">
        <w:rPr>
          <w:b/>
          <w:color w:val="000000"/>
        </w:rPr>
        <w:t>for Council</w:t>
      </w:r>
      <w:r w:rsidR="007A6AE5">
        <w:rPr>
          <w:b/>
          <w:color w:val="000000"/>
        </w:rPr>
        <w:t>’</w:t>
      </w:r>
      <w:r w:rsidRPr="008747D9">
        <w:rPr>
          <w:b/>
          <w:color w:val="000000"/>
        </w:rPr>
        <w:t>s decision.</w:t>
      </w:r>
    </w:p>
    <w:p w:rsidR="002340B4" w:rsidRDefault="002340B4">
      <w:pPr>
        <w:jc w:val="both"/>
        <w:rPr>
          <w:b/>
          <w:color w:val="000000"/>
        </w:rPr>
      </w:pPr>
    </w:p>
    <w:p w:rsidR="002340B4" w:rsidRDefault="002340B4">
      <w:pPr>
        <w:jc w:val="both"/>
        <w:rPr>
          <w:b/>
          <w:color w:val="000000"/>
        </w:rPr>
      </w:pPr>
      <w:r>
        <w:rPr>
          <w:b/>
          <w:color w:val="000000"/>
        </w:rPr>
        <w:t>The proposed signage is shown below:</w:t>
      </w:r>
    </w:p>
    <w:p w:rsidR="002340B4" w:rsidRDefault="00BD1A50">
      <w:pPr>
        <w:jc w:val="both"/>
        <w:rPr>
          <w:b/>
          <w:color w:val="000000"/>
        </w:rPr>
      </w:pPr>
      <w:r>
        <w:rPr>
          <w:b/>
          <w:noProof/>
          <w:color w:val="00000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7.2pt;margin-top:20.3pt;width:119.4pt;height:20.6pt;z-index:251666432;mso-height-percent:200;mso-height-percent:200;mso-width-relative:margin;mso-height-relative:margin">
            <v:textbox style="mso-fit-shape-to-text:t">
              <w:txbxContent>
                <w:p w:rsidR="00436E3B" w:rsidRDefault="00436E3B" w:rsidP="00436E3B">
                  <w:r>
                    <w:t>Sign Location Plan</w:t>
                  </w:r>
                </w:p>
              </w:txbxContent>
            </v:textbox>
          </v:shape>
        </w:pict>
      </w:r>
      <w:r w:rsidRPr="00BD1A50">
        <w:rPr>
          <w:b/>
          <w:noProof/>
          <w:color w:val="000000"/>
          <w:lang w:eastAsia="zh-TW"/>
        </w:rPr>
        <w:pict>
          <v:shape id="_x0000_s1030" type="#_x0000_t202" style="position:absolute;left:0;text-align:left;margin-left:14.15pt;margin-top:177.8pt;width:138.25pt;height:33.25pt;z-index:251664384;mso-height-percent:200;mso-height-percent:200;mso-width-relative:margin;mso-height-relative:margin">
            <v:textbox style="mso-fit-shape-to-text:t">
              <w:txbxContent>
                <w:p w:rsidR="00436E3B" w:rsidRDefault="00436E3B">
                  <w:r>
                    <w:t xml:space="preserve">Proposed Free Standing </w:t>
                  </w:r>
                </w:p>
                <w:p w:rsidR="00AB0B0E" w:rsidRDefault="00436E3B">
                  <w:r>
                    <w:t>Sign</w:t>
                  </w:r>
                </w:p>
              </w:txbxContent>
            </v:textbox>
          </v:shape>
        </w:pict>
      </w:r>
      <w:r w:rsidR="00AB0B0E">
        <w:rPr>
          <w:b/>
          <w:noProof/>
          <w:color w:val="000000"/>
          <w:lang w:val="en-CA" w:eastAsia="en-CA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162560</wp:posOffset>
            </wp:positionV>
            <wp:extent cx="3683000" cy="2647950"/>
            <wp:effectExtent l="19050" t="0" r="0" b="0"/>
            <wp:wrapTight wrapText="bothSides">
              <wp:wrapPolygon edited="0">
                <wp:start x="-112" y="0"/>
                <wp:lineTo x="-112" y="21445"/>
                <wp:lineTo x="21563" y="21445"/>
                <wp:lineTo x="21563" y="0"/>
                <wp:lineTo x="-112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3E1" w:rsidRPr="008747D9" w:rsidRDefault="00BD1A50">
      <w:pPr>
        <w:jc w:val="both"/>
        <w:rPr>
          <w:b/>
          <w:color w:val="000000"/>
        </w:rPr>
      </w:pPr>
      <w:r>
        <w:rPr>
          <w:b/>
          <w:noProof/>
          <w:color w:val="000000"/>
          <w:lang w:val="en-CA" w:eastAsia="en-CA"/>
        </w:rPr>
        <w:pict>
          <v:shape id="_x0000_s1031" type="#_x0000_t202" style="position:absolute;left:0;text-align:left;margin-left:184.8pt;margin-top:-121.85pt;width:138.25pt;height:33.25pt;z-index:251665408;mso-height-percent:200;mso-height-percent:200;mso-width-relative:margin;mso-height-relative:margin">
            <v:textbox style="mso-fit-shape-to-text:t">
              <w:txbxContent>
                <w:p w:rsidR="00436E3B" w:rsidRDefault="00436E3B" w:rsidP="00436E3B">
                  <w:r>
                    <w:t>Vehicle Waiting Area View of Proposed Signs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val="en-CA" w:eastAsia="en-CA"/>
        </w:rPr>
        <w:pict>
          <v:shape id="_x0000_s1027" type="#_x0000_t202" style="position:absolute;left:0;text-align:left;margin-left:116.5pt;margin-top:115.7pt;width:171.95pt;height:33.2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34071D" w:rsidRDefault="0034071D" w:rsidP="002340B4">
                  <w:r>
                    <w:t xml:space="preserve">Proposed </w:t>
                  </w:r>
                  <w:proofErr w:type="spellStart"/>
                  <w:r>
                    <w:t>Cardeck</w:t>
                  </w:r>
                  <w:proofErr w:type="spellEnd"/>
                  <w:r>
                    <w:t xml:space="preserve"> Mounted Sign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val="en-CA" w:eastAsia="en-CA"/>
        </w:rPr>
        <w:pict>
          <v:shape id="_x0000_s1028" type="#_x0000_t202" style="position:absolute;left:0;text-align:left;margin-left:-142.95pt;margin-top:173.45pt;width:93.5pt;height:31.5pt;z-index:251662336;mso-width-relative:margin;mso-height-relative:margin">
            <v:textbox>
              <w:txbxContent>
                <w:p w:rsidR="0034071D" w:rsidRDefault="00AB0B0E" w:rsidP="002340B4">
                  <w:r>
                    <w:t>Proposed Free Standing Sign</w:t>
                  </w:r>
                </w:p>
              </w:txbxContent>
            </v:textbox>
          </v:shape>
        </w:pict>
      </w:r>
      <w:r w:rsidRPr="00BD1A50">
        <w:rPr>
          <w:b/>
          <w:noProof/>
          <w:color w:val="000000"/>
          <w:lang w:eastAsia="zh-TW"/>
        </w:rPr>
        <w:pict>
          <v:shape id="_x0000_s1026" type="#_x0000_t202" style="position:absolute;left:0;text-align:left;margin-left:-59.3pt;margin-top:226.7pt;width:230.6pt;height:21.25pt;z-index:251660288;mso-position-horizontal-relative:text;mso-position-vertical-relative:text;mso-width-relative:margin;mso-height-relative:margin">
            <v:textbox>
              <w:txbxContent>
                <w:p w:rsidR="0034071D" w:rsidRDefault="00AB0B0E">
                  <w:r>
                    <w:t>Waiting Area View of Freestanding Signs</w:t>
                  </w:r>
                </w:p>
              </w:txbxContent>
            </v:textbox>
          </v:shape>
        </w:pict>
      </w:r>
      <w:r w:rsidR="00AB0B0E">
        <w:rPr>
          <w:b/>
          <w:noProof/>
          <w:color w:val="000000"/>
          <w:lang w:val="en-CA" w:eastAsia="en-CA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2860040</wp:posOffset>
            </wp:positionV>
            <wp:extent cx="5486400" cy="1569720"/>
            <wp:effectExtent l="19050" t="19050" r="19050" b="11430"/>
            <wp:wrapTight wrapText="bothSides">
              <wp:wrapPolygon edited="0">
                <wp:start x="-75" y="-262"/>
                <wp:lineTo x="-75" y="21757"/>
                <wp:lineTo x="21675" y="21757"/>
                <wp:lineTo x="21675" y="-262"/>
                <wp:lineTo x="-75" y="-262"/>
              </wp:wrapPolygon>
            </wp:wrapTight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697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B0E">
        <w:rPr>
          <w:b/>
          <w:noProof/>
          <w:color w:val="000000"/>
          <w:lang w:val="en-CA" w:eastAsia="en-CA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990725" cy="2647950"/>
            <wp:effectExtent l="19050" t="0" r="9525" b="0"/>
            <wp:wrapTight wrapText="bothSides">
              <wp:wrapPolygon edited="0">
                <wp:start x="-207" y="0"/>
                <wp:lineTo x="-207" y="21445"/>
                <wp:lineTo x="21703" y="21445"/>
                <wp:lineTo x="21703" y="0"/>
                <wp:lineTo x="-20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33E1" w:rsidRPr="008747D9" w:rsidSect="004F7A6F">
      <w:headerReference w:type="default" r:id="rId12"/>
      <w:type w:val="continuous"/>
      <w:pgSz w:w="12240" w:h="15840" w:code="1"/>
      <w:pgMar w:top="432" w:right="1800" w:bottom="1440" w:left="1800" w:header="720" w:footer="720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1D" w:rsidRDefault="0034071D">
      <w:r>
        <w:separator/>
      </w:r>
    </w:p>
  </w:endnote>
  <w:endnote w:type="continuationSeparator" w:id="0">
    <w:p w:rsidR="0034071D" w:rsidRDefault="0034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1D" w:rsidRDefault="0034071D">
      <w:r>
        <w:separator/>
      </w:r>
    </w:p>
  </w:footnote>
  <w:footnote w:type="continuationSeparator" w:id="0">
    <w:p w:rsidR="0034071D" w:rsidRDefault="00340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1D" w:rsidRDefault="0034071D">
    <w:pPr>
      <w:pStyle w:val="Header"/>
      <w:jc w:val="center"/>
    </w:pPr>
    <w:r>
      <w:t xml:space="preserve">- Page </w:t>
    </w:r>
    <w:fldSimple w:instr="PAGE">
      <w:r w:rsidR="001563D3">
        <w:rPr>
          <w:noProof/>
        </w:rPr>
        <w:t>2</w:t>
      </w:r>
    </w:fldSimple>
    <w:r>
      <w:t xml:space="preserve"> -</w:t>
    </w:r>
  </w:p>
  <w:p w:rsidR="0034071D" w:rsidRDefault="0034071D">
    <w:pPr>
      <w:pStyle w:val="Header"/>
      <w:jc w:val="center"/>
    </w:pPr>
  </w:p>
  <w:p w:rsidR="0034071D" w:rsidRDefault="0034071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079"/>
    <w:multiLevelType w:val="hybridMultilevel"/>
    <w:tmpl w:val="952AD6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60CC"/>
    <w:multiLevelType w:val="hybridMultilevel"/>
    <w:tmpl w:val="688C39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16F8C"/>
    <w:rsid w:val="00012E3A"/>
    <w:rsid w:val="00060544"/>
    <w:rsid w:val="00091612"/>
    <w:rsid w:val="000B1737"/>
    <w:rsid w:val="000D321C"/>
    <w:rsid w:val="0010592E"/>
    <w:rsid w:val="001563D3"/>
    <w:rsid w:val="0016290D"/>
    <w:rsid w:val="001D637D"/>
    <w:rsid w:val="001E6E73"/>
    <w:rsid w:val="001F36C6"/>
    <w:rsid w:val="0022139C"/>
    <w:rsid w:val="002340B4"/>
    <w:rsid w:val="00243744"/>
    <w:rsid w:val="00254A96"/>
    <w:rsid w:val="002566A3"/>
    <w:rsid w:val="00310D13"/>
    <w:rsid w:val="00311BAC"/>
    <w:rsid w:val="00335D68"/>
    <w:rsid w:val="0034071D"/>
    <w:rsid w:val="003422F3"/>
    <w:rsid w:val="00371AF5"/>
    <w:rsid w:val="003764DC"/>
    <w:rsid w:val="003D5D63"/>
    <w:rsid w:val="00403DE8"/>
    <w:rsid w:val="004133E1"/>
    <w:rsid w:val="00436E3B"/>
    <w:rsid w:val="004853E7"/>
    <w:rsid w:val="004B229A"/>
    <w:rsid w:val="004F7A6F"/>
    <w:rsid w:val="00532AE5"/>
    <w:rsid w:val="00565292"/>
    <w:rsid w:val="00594092"/>
    <w:rsid w:val="005C6954"/>
    <w:rsid w:val="00652D3D"/>
    <w:rsid w:val="0065577E"/>
    <w:rsid w:val="006779CC"/>
    <w:rsid w:val="00681158"/>
    <w:rsid w:val="006A4BCC"/>
    <w:rsid w:val="006D4659"/>
    <w:rsid w:val="007335DB"/>
    <w:rsid w:val="007603B4"/>
    <w:rsid w:val="0079570B"/>
    <w:rsid w:val="007A6AE5"/>
    <w:rsid w:val="007C2CC4"/>
    <w:rsid w:val="007E18A4"/>
    <w:rsid w:val="00833823"/>
    <w:rsid w:val="008747D9"/>
    <w:rsid w:val="008D0F22"/>
    <w:rsid w:val="008D2197"/>
    <w:rsid w:val="009040B8"/>
    <w:rsid w:val="0092577B"/>
    <w:rsid w:val="009413C8"/>
    <w:rsid w:val="009E0022"/>
    <w:rsid w:val="009E1820"/>
    <w:rsid w:val="00A10D29"/>
    <w:rsid w:val="00A42E3B"/>
    <w:rsid w:val="00A56368"/>
    <w:rsid w:val="00AB0B0E"/>
    <w:rsid w:val="00AE3B68"/>
    <w:rsid w:val="00B2508F"/>
    <w:rsid w:val="00B37105"/>
    <w:rsid w:val="00B43EDE"/>
    <w:rsid w:val="00B46047"/>
    <w:rsid w:val="00B56431"/>
    <w:rsid w:val="00B679B0"/>
    <w:rsid w:val="00B76FC3"/>
    <w:rsid w:val="00BA7979"/>
    <w:rsid w:val="00BD1A50"/>
    <w:rsid w:val="00BE0124"/>
    <w:rsid w:val="00BE0F28"/>
    <w:rsid w:val="00BE1642"/>
    <w:rsid w:val="00BE25C4"/>
    <w:rsid w:val="00BF5B5D"/>
    <w:rsid w:val="00C359B1"/>
    <w:rsid w:val="00C45D8F"/>
    <w:rsid w:val="00CA79E5"/>
    <w:rsid w:val="00CB1FA0"/>
    <w:rsid w:val="00CE17E0"/>
    <w:rsid w:val="00CE6F8F"/>
    <w:rsid w:val="00D16F8C"/>
    <w:rsid w:val="00D270EF"/>
    <w:rsid w:val="00D400D7"/>
    <w:rsid w:val="00D45774"/>
    <w:rsid w:val="00DA08F1"/>
    <w:rsid w:val="00EA7854"/>
    <w:rsid w:val="00EC7CBB"/>
    <w:rsid w:val="00EF41B2"/>
    <w:rsid w:val="00F22022"/>
    <w:rsid w:val="00F36498"/>
    <w:rsid w:val="00F404BB"/>
    <w:rsid w:val="00F41849"/>
    <w:rsid w:val="00F83019"/>
    <w:rsid w:val="00FA3B1F"/>
    <w:rsid w:val="00FB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D8F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C45D8F"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45D8F"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rsid w:val="00C45D8F"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C45D8F"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C45D8F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C45D8F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C45D8F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C45D8F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C45D8F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45D8F"/>
    <w:pPr>
      <w:ind w:left="720"/>
    </w:pPr>
  </w:style>
  <w:style w:type="paragraph" w:styleId="Header">
    <w:name w:val="header"/>
    <w:basedOn w:val="Normal"/>
    <w:rsid w:val="00C45D8F"/>
    <w:pPr>
      <w:tabs>
        <w:tab w:val="center" w:pos="4252"/>
        <w:tab w:val="right" w:pos="8504"/>
      </w:tabs>
    </w:pPr>
  </w:style>
  <w:style w:type="character" w:styleId="FootnoteReference">
    <w:name w:val="footnote reference"/>
    <w:basedOn w:val="DefaultParagraphFont"/>
    <w:semiHidden/>
    <w:rsid w:val="00C45D8F"/>
    <w:rPr>
      <w:position w:val="6"/>
      <w:sz w:val="16"/>
    </w:rPr>
  </w:style>
  <w:style w:type="paragraph" w:styleId="FootnoteText">
    <w:name w:val="footnote text"/>
    <w:basedOn w:val="Normal"/>
    <w:semiHidden/>
    <w:rsid w:val="00C45D8F"/>
    <w:rPr>
      <w:sz w:val="20"/>
    </w:rPr>
  </w:style>
  <w:style w:type="paragraph" w:customStyle="1" w:styleId="HEAD2">
    <w:name w:val="HEAD 2"/>
    <w:basedOn w:val="Normal"/>
    <w:rsid w:val="00C45D8F"/>
    <w:pPr>
      <w:spacing w:before="240"/>
      <w:ind w:firstLine="720"/>
    </w:pPr>
    <w:rPr>
      <w:i/>
      <w:sz w:val="24"/>
    </w:rPr>
  </w:style>
  <w:style w:type="paragraph" w:customStyle="1" w:styleId="HEAD1">
    <w:name w:val="HEAD_1"/>
    <w:rsid w:val="00C45D8F"/>
    <w:pPr>
      <w:spacing w:after="120"/>
    </w:pPr>
    <w:rPr>
      <w:b/>
      <w:sz w:val="26"/>
      <w:lang w:val="en-US" w:eastAsia="en-US"/>
    </w:rPr>
  </w:style>
  <w:style w:type="paragraph" w:customStyle="1" w:styleId="QUOTATIONS">
    <w:name w:val="QUOTATIONS"/>
    <w:basedOn w:val="Normal"/>
    <w:rsid w:val="00C45D8F"/>
    <w:pPr>
      <w:spacing w:before="120" w:after="120"/>
      <w:ind w:left="720" w:right="720"/>
      <w:jc w:val="both"/>
    </w:pPr>
    <w:rPr>
      <w:sz w:val="20"/>
    </w:rPr>
  </w:style>
  <w:style w:type="paragraph" w:styleId="Footer">
    <w:name w:val="footer"/>
    <w:basedOn w:val="Normal"/>
    <w:rsid w:val="00C45D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65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7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B9E7-004A-41EC-8A80-8C7CA65B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Development Variance Permit Resolution</vt:lpstr>
    </vt:vector>
  </TitlesOfParts>
  <Company>City of Nanaimo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Development Variance Permit Resolution</dc:title>
  <dc:subject>Notice of Development Variance Permit Resolution</dc:subject>
  <dc:creator>Arturo S. Ramirez</dc:creator>
  <cp:keywords>development variance permit</cp:keywords>
  <cp:lastModifiedBy>Laurie Boehm</cp:lastModifiedBy>
  <cp:revision>7</cp:revision>
  <cp:lastPrinted>2014-09-17T22:00:00Z</cp:lastPrinted>
  <dcterms:created xsi:type="dcterms:W3CDTF">2014-09-17T21:56:00Z</dcterms:created>
  <dcterms:modified xsi:type="dcterms:W3CDTF">2014-09-17T23:16:00Z</dcterms:modified>
</cp:coreProperties>
</file>